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3" w:rightChars="30"/>
        <w:jc w:val="distribute"/>
        <w:rPr>
          <w:rFonts w:ascii="Times New Roman" w:hAnsi="Times New Roman" w:eastAsia="方正小标宋_GBK" w:cs="宋体"/>
          <w:color w:val="000000"/>
          <w:spacing w:val="20"/>
          <w:w w:val="55"/>
          <w:kern w:val="0"/>
          <w:sz w:val="112"/>
          <w:szCs w:val="112"/>
        </w:rPr>
      </w:pPr>
    </w:p>
    <w:p>
      <w:pPr>
        <w:spacing w:line="460" w:lineRule="exact"/>
        <w:rPr>
          <w:rFonts w:ascii="Times New Roman" w:hAnsi="Times New Roman" w:eastAsia="方正黑体_GBK" w:cs="仿宋_GB2312"/>
          <w:sz w:val="33"/>
          <w:szCs w:val="33"/>
        </w:rPr>
      </w:pPr>
      <w:r>
        <w:rPr>
          <w:rFonts w:hint="eastAsia" w:ascii="Times New Roman" w:hAnsi="Times New Roman" w:eastAsia="方正黑体_GBK" w:cs="仿宋_GB2312"/>
          <w:sz w:val="33"/>
          <w:szCs w:val="33"/>
        </w:rPr>
        <w:t>附件</w:t>
      </w:r>
      <w:r>
        <w:rPr>
          <w:rFonts w:ascii="Times New Roman" w:hAnsi="Times New Roman" w:eastAsia="方正黑体_GBK" w:cs="仿宋_GB2312"/>
          <w:sz w:val="33"/>
          <w:szCs w:val="33"/>
        </w:rPr>
        <w:t>1</w:t>
      </w:r>
    </w:p>
    <w:p>
      <w:pPr>
        <w:spacing w:line="460" w:lineRule="exact"/>
        <w:rPr>
          <w:rFonts w:ascii="Times New Roman" w:hAnsi="Times New Roman" w:eastAsia="黑体" w:cs="仿宋_GB2312"/>
          <w:sz w:val="33"/>
          <w:szCs w:val="33"/>
        </w:rPr>
      </w:pPr>
    </w:p>
    <w:p>
      <w:pPr>
        <w:spacing w:line="64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2020</w:t>
      </w:r>
      <w:r>
        <w:rPr>
          <w:rFonts w:hint="eastAsia" w:ascii="Times New Roman" w:hAnsi="Times New Roman" w:eastAsia="方正小标宋_GBK"/>
          <w:bCs/>
          <w:sz w:val="44"/>
          <w:szCs w:val="44"/>
        </w:rPr>
        <w:t>年度市政府社科奖励基金项目</w:t>
      </w:r>
    </w:p>
    <w:p>
      <w:pPr>
        <w:spacing w:line="64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研究课题选题指南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一、十九届四中全会</w:t>
      </w:r>
      <w:bookmarkStart w:id="0" w:name="_GoBack"/>
      <w:bookmarkEnd w:id="0"/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精神研究阐述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﹒盐城市市域治理体系和治理能力现代化研究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﹒盐城市全域一体化发展体制机制研究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﹒推动城乡融合发展体制机制研究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﹒从本质安全入手健全风险防范化解机制研究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﹒重大疫情防控和提高应对公共卫生事件能力研究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﹒推进基层治理现代化模式与经验研究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﹒加强生态环境治理能力建设研究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﹒落实意识形态工作责任研究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﹒推动社会主义核心价值观融入地方治理研究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﹒把党的领导落实到市域治理各领域各方面研究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﹒完善担当作为激励机制研究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﹒建立不忘初心、牢记使命长效机制研究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二、融入长三角高质量一体化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﹒盐城与其他长三角中心区城市比较研究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﹒提升盐城城市服务能级对策研究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﹒盐城提升产业发展能级对策研究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﹒提升盐城交通枢纽能级对策研究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﹒发挥盐城区域中心城市辐射带动作用研究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﹒盐城与周边城市融合发展研究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﹒盐城打造长三角北翼产业高地研究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﹒文化融合与盐城融入长三角研究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﹒盐城策应上海国际“五个”中心建设研究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﹒盐城青年企业家融入长三角一体化路径研究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三、“四新盐城”建设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楷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32"/>
          <w:szCs w:val="32"/>
        </w:rPr>
        <w:t>（一）产业新盐城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﹒构建盐城现代化产业体系研究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﹒加快盐城传统产业升级研究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﹒推动盐城主导产业全产业链可持续高质量发展研究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﹒培育创新型企业研究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﹒推进服务业集聚区建设研究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﹒发展现代物流业研究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﹒发展市区夜间经济研究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﹒加快农产品加工业发展研究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﹒农旅融合发展研究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﹒农产品品牌营销研究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楷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32"/>
          <w:szCs w:val="32"/>
        </w:rPr>
        <w:t>（二）开放新盐城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﹒盐城接轨上海融入长三角的障碍和短板研究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﹒盐城接轨上海“一区三基地”深化研究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﹒中韩（盐城）产业园创新发展研究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﹒盐城工业园区高质量建设的实践探索与制度创新研究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﹒构建环黄海生态经济圈研究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﹒优化中心城市布局研究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﹒促进全市域建制镇特色化差异化发展研究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﹒持续优化营商环境研究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﹒培育新时代“盐商”研究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楷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32"/>
          <w:szCs w:val="32"/>
        </w:rPr>
        <w:t>（三）生态新盐城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﹒黄海湿地世界遗产自然遗产保护与利用研究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﹒盐城水安全、水生态、水资源、水文化研究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﹒打赢防治污染攻坚战研究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﹒建设康养城市研究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﹒农村农房改造研究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﹒发展湿地生态旅游研究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﹒城乡人居环境提升研究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楷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宋体"/>
          <w:color w:val="000000"/>
          <w:kern w:val="0"/>
          <w:sz w:val="32"/>
          <w:szCs w:val="32"/>
        </w:rPr>
        <w:t>（四）幸福新盐城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﹒增强民生保障多层次多样化供给能力研究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﹒构建优质高效的医疗卫生服务体系研究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﹒构建城乡居民增收长效机制研究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﹒探索稳定脱贫长效机制研究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﹒完善就业创业社会保障体系研究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﹒扩大优质教育公共文化资源供给研究发展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﹒推进健康盐城建设研究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﹒壮大村级集体经济研究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﹒加强社区工作研究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﹒发挥群团组织社会组织作用研究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四、盐城市“十四五”规划前瞻性研究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﹒落实和对接“一带一路”、长三角一体化等国家和省重大发展战略研究</w:t>
      </w:r>
    </w:p>
    <w:p>
      <w:pPr>
        <w:shd w:val="clear" w:color="auto" w:fill="FFFFFF"/>
        <w:topLinePunct/>
        <w:spacing w:line="570" w:lineRule="exact"/>
        <w:ind w:firstLine="624" w:firstLineChars="200"/>
        <w:rPr>
          <w:rFonts w:ascii="Times New Roman" w:hAnsi="Times New Roman" w:eastAsia="方正仿宋_GBK" w:cs="宋体"/>
          <w:color w:val="000000"/>
          <w:spacing w:val="-4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spacing w:val="-4"/>
          <w:kern w:val="32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spacing w:val="-4"/>
          <w:kern w:val="32"/>
          <w:sz w:val="32"/>
          <w:szCs w:val="32"/>
        </w:rPr>
        <w:t>﹒“十四五”时期盐城市国民经济与社会发展总体思路研究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﹒“十四五”时期盐城培育壮大创新主体的思路研究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﹒“十四五”时期盐城加快经济发展新旧动能转换的思路研究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﹒“十四五”时期盐城新型城镇化思路研究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﹒“十四五”时期盐城绿色发展思路与对策研究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6.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“十四五”时期盐城提高富民增收水平的思路对策研究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﹒“十四五”时期盐城重大产业项目培育布局思路研究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﹒“十四五”盐城市全方位高水平对外开放基本思路研究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﹒“十四五”时期盐城农村一二三产业融合发展研究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10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﹒“十四五”盐城湿地保护和生态修复研究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11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﹒“十四五”时期推动盐城制造业高质量发展的基本思路研究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12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﹒“十四五”时期盐城现代服务业发展思路研究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13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﹒“十四五”时期盐城战略性新兴产业发展思路研究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32"/>
          <w:sz w:val="32"/>
          <w:szCs w:val="32"/>
        </w:rPr>
        <w:t>14</w:t>
      </w:r>
      <w:r>
        <w:rPr>
          <w:rFonts w:hint="eastAsia" w:ascii="Times New Roman" w:hAnsi="Times New Roman" w:eastAsia="方正仿宋_GBK" w:cs="宋体"/>
          <w:color w:val="000000"/>
          <w:kern w:val="32"/>
          <w:sz w:val="32"/>
          <w:szCs w:val="32"/>
        </w:rPr>
        <w:t>﹒“十四五”时期盐城促进人口均衡发展及积极应对人口老龄化的思路对策研究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</w:rPr>
        <w:t>五、盐城地方历史文化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﹒盐城历史文脉研究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﹒盐城红色文化研究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﹒盐城海盐文化研究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4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﹒盐城湿地文化研究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﹒盐城淮剧文化研究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6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﹒盐城民俗文化研究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﹒盐城地方历史文献研究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8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﹒盐城历史名人名著研究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 w:cs="仿宋_GB2312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9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>﹒盐城建立公民人文社会科学素质评估制度研究</w:t>
      </w:r>
    </w:p>
    <w:p>
      <w:pPr>
        <w:spacing w:line="440" w:lineRule="exact"/>
        <w:rPr>
          <w:rFonts w:ascii="Times New Roman" w:hAnsi="Times New Roman" w:eastAsia="黑体" w:cs="仿宋_GB2312"/>
          <w:sz w:val="33"/>
          <w:szCs w:val="33"/>
        </w:rPr>
      </w:pPr>
    </w:p>
    <w:p>
      <w:pPr>
        <w:spacing w:line="20" w:lineRule="exact"/>
        <w:rPr>
          <w:rFonts w:ascii="Times New Roman" w:hAnsi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hint="eastAsia" w:ascii="宋体" w:hAnsi="宋体"/>
        <w:color w:val="FFFFFF"/>
        <w:sz w:val="28"/>
        <w:szCs w:val="28"/>
      </w:rPr>
      <w:t>□</w:t>
    </w: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8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  <w:r>
      <w:rPr>
        <w:rStyle w:val="7"/>
        <w:rFonts w:hint="eastAsia" w:ascii="宋体" w:hAnsi="宋体"/>
        <w:color w:val="FFFFFF"/>
        <w:sz w:val="28"/>
        <w:szCs w:val="28"/>
      </w:rPr>
      <w:t>□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06"/>
    <w:rsid w:val="00006EDC"/>
    <w:rsid w:val="00020407"/>
    <w:rsid w:val="0003347B"/>
    <w:rsid w:val="000554D0"/>
    <w:rsid w:val="00074067"/>
    <w:rsid w:val="000A3DAD"/>
    <w:rsid w:val="000C6FFD"/>
    <w:rsid w:val="000D6514"/>
    <w:rsid w:val="000E60F3"/>
    <w:rsid w:val="000E6334"/>
    <w:rsid w:val="001001E7"/>
    <w:rsid w:val="00102490"/>
    <w:rsid w:val="00123CC8"/>
    <w:rsid w:val="00130D99"/>
    <w:rsid w:val="001324B0"/>
    <w:rsid w:val="0014043C"/>
    <w:rsid w:val="001476EC"/>
    <w:rsid w:val="00176513"/>
    <w:rsid w:val="001B6455"/>
    <w:rsid w:val="001F6A44"/>
    <w:rsid w:val="00205B54"/>
    <w:rsid w:val="00232E1C"/>
    <w:rsid w:val="00256424"/>
    <w:rsid w:val="002868D6"/>
    <w:rsid w:val="00291236"/>
    <w:rsid w:val="00296222"/>
    <w:rsid w:val="002C6F77"/>
    <w:rsid w:val="002E3B24"/>
    <w:rsid w:val="00300C7A"/>
    <w:rsid w:val="00320872"/>
    <w:rsid w:val="00334A7B"/>
    <w:rsid w:val="0035106F"/>
    <w:rsid w:val="0039211B"/>
    <w:rsid w:val="003A60CB"/>
    <w:rsid w:val="003D1795"/>
    <w:rsid w:val="003D551C"/>
    <w:rsid w:val="003E27E7"/>
    <w:rsid w:val="00426F0F"/>
    <w:rsid w:val="004702D4"/>
    <w:rsid w:val="004C7AE8"/>
    <w:rsid w:val="004E5344"/>
    <w:rsid w:val="00513CB3"/>
    <w:rsid w:val="005354EB"/>
    <w:rsid w:val="00546F7F"/>
    <w:rsid w:val="00560635"/>
    <w:rsid w:val="00565E5F"/>
    <w:rsid w:val="005A5CF5"/>
    <w:rsid w:val="005E4D1E"/>
    <w:rsid w:val="005F5C2C"/>
    <w:rsid w:val="005F792C"/>
    <w:rsid w:val="006070FD"/>
    <w:rsid w:val="00665068"/>
    <w:rsid w:val="006A4860"/>
    <w:rsid w:val="007C338D"/>
    <w:rsid w:val="007E69BA"/>
    <w:rsid w:val="007E6D8B"/>
    <w:rsid w:val="00810C14"/>
    <w:rsid w:val="00821F06"/>
    <w:rsid w:val="008A3B56"/>
    <w:rsid w:val="008B3281"/>
    <w:rsid w:val="009010A8"/>
    <w:rsid w:val="009268F1"/>
    <w:rsid w:val="009755CB"/>
    <w:rsid w:val="009857FE"/>
    <w:rsid w:val="009B2A57"/>
    <w:rsid w:val="009C325C"/>
    <w:rsid w:val="009D3824"/>
    <w:rsid w:val="009D5C0F"/>
    <w:rsid w:val="009E36BA"/>
    <w:rsid w:val="009F2AE7"/>
    <w:rsid w:val="00A2689F"/>
    <w:rsid w:val="00A32531"/>
    <w:rsid w:val="00A44847"/>
    <w:rsid w:val="00A504AA"/>
    <w:rsid w:val="00A618A9"/>
    <w:rsid w:val="00A6472E"/>
    <w:rsid w:val="00A801FA"/>
    <w:rsid w:val="00A81371"/>
    <w:rsid w:val="00AA0BB1"/>
    <w:rsid w:val="00AB1A9B"/>
    <w:rsid w:val="00AB7BAA"/>
    <w:rsid w:val="00AC63EC"/>
    <w:rsid w:val="00B221A4"/>
    <w:rsid w:val="00B6342E"/>
    <w:rsid w:val="00B75922"/>
    <w:rsid w:val="00B82F37"/>
    <w:rsid w:val="00B83A2C"/>
    <w:rsid w:val="00BB3B25"/>
    <w:rsid w:val="00BC4FCE"/>
    <w:rsid w:val="00BD1AA3"/>
    <w:rsid w:val="00BE1EFE"/>
    <w:rsid w:val="00C12802"/>
    <w:rsid w:val="00C148DB"/>
    <w:rsid w:val="00C31D01"/>
    <w:rsid w:val="00C42B34"/>
    <w:rsid w:val="00CC2F5C"/>
    <w:rsid w:val="00CD1542"/>
    <w:rsid w:val="00CD5AAE"/>
    <w:rsid w:val="00CF0EA7"/>
    <w:rsid w:val="00D076DD"/>
    <w:rsid w:val="00D23600"/>
    <w:rsid w:val="00D24372"/>
    <w:rsid w:val="00D50202"/>
    <w:rsid w:val="00D57807"/>
    <w:rsid w:val="00DB21B7"/>
    <w:rsid w:val="00DC5607"/>
    <w:rsid w:val="00DD57C7"/>
    <w:rsid w:val="00DE2918"/>
    <w:rsid w:val="00DF6BE3"/>
    <w:rsid w:val="00E42E33"/>
    <w:rsid w:val="00E516DC"/>
    <w:rsid w:val="00E61E97"/>
    <w:rsid w:val="00E84604"/>
    <w:rsid w:val="00E97E09"/>
    <w:rsid w:val="00EA4D85"/>
    <w:rsid w:val="00EA6C6B"/>
    <w:rsid w:val="00EB0933"/>
    <w:rsid w:val="00F674B1"/>
    <w:rsid w:val="00FC24EC"/>
    <w:rsid w:val="00FE2ECA"/>
    <w:rsid w:val="01D506AC"/>
    <w:rsid w:val="138E0B5D"/>
    <w:rsid w:val="1BE65907"/>
    <w:rsid w:val="321147B2"/>
    <w:rsid w:val="32590BC6"/>
    <w:rsid w:val="410511C4"/>
    <w:rsid w:val="58417A82"/>
    <w:rsid w:val="68996508"/>
    <w:rsid w:val="6CC4036B"/>
    <w:rsid w:val="6DCE745C"/>
    <w:rsid w:val="6F5D66D7"/>
    <w:rsid w:val="7B5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20</Pages>
  <Words>1011</Words>
  <Characters>5764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2020-02-29T03:02:00Z</dcterms:created>
  <dc:creator>Windows 用户</dc:creator>
  <cp:lastModifiedBy>Administrator</cp:lastModifiedBy>
  <cp:lastPrinted>2020-02-29T01:31:00Z</cp:lastPrinted>
  <dcterms:modified xsi:type="dcterms:W3CDTF">2020-02-29T10:03:44Z</dcterms:modified>
  <dc:title>盐城市哲学社会科学联合会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